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/>
          <w:b/>
          <w:i w:val="0"/>
          <w:color w:val="087A55"/>
          <w:sz w:val="19"/>
        </w:rPr>
        <w:t>NOTA DE PROYECTO</w:t>
      </w:r>
    </w:p>
    <w:p>
      <w:pPr>
        <w:spacing w:after="40"/>
      </w:pPr>
      <w:r>
        <w:rPr>
          <w:rFonts w:ascii="Calibri" w:hAnsi="Calibri"/>
          <w:b/>
          <w:i w:val="0"/>
          <w:color w:val="14251D"/>
          <w:sz w:val="50"/>
        </w:rPr>
        <w:t>Sistema Territorial ABC</w:t>
      </w:r>
    </w:p>
    <w:p>
      <w:pPr>
        <w:spacing w:after="200"/>
      </w:pPr>
      <w:r>
        <w:rPr>
          <w:rFonts w:ascii="Calibri" w:hAnsi="Calibri"/>
          <w:b w:val="0"/>
          <w:i w:val="0"/>
          <w:color w:val="536159"/>
          <w:sz w:val="26"/>
        </w:rPr>
        <w:t>El sistema de información de la Agenda ABC</w:t>
      </w:r>
    </w:p>
    <w:p>
      <w:pPr>
        <w:spacing w:after="20"/>
      </w:pPr>
      <w:r>
        <w:rPr>
          <w:rFonts w:ascii="Calibri" w:hAnsi="Calibri"/>
          <w:b/>
          <w:i w:val="0"/>
          <w:color w:val="14251D"/>
          <w:sz w:val="21"/>
        </w:rPr>
        <w:t>Ministerio de Ambiente y Desarrollo Sostenible, República de Colombia</w:t>
      </w:r>
    </w:p>
    <w:p>
      <w:pPr>
        <w:spacing w:after="320"/>
      </w:pPr>
      <w:r>
        <w:rPr>
          <w:rFonts w:ascii="Calibri" w:hAnsi="Calibri"/>
          <w:b w:val="0"/>
          <w:i w:val="0"/>
          <w:color w:val="536159"/>
          <w:sz w:val="19"/>
        </w:rPr>
        <w:t>21-08-2026</w:t>
      </w:r>
    </w:p>
    <w:p>
      <w:pPr>
        <w:pStyle w:val="Heading1"/>
        <w:keepNext/>
        <w:jc w:val="left"/>
      </w:pPr>
      <w:r>
        <w:t>Resumen del proyecto</w:t>
      </w:r>
    </w:p>
    <w:p>
      <w:pPr>
        <w:spacing w:before="100" w:after="240" w:line="288" w:lineRule="auto"/>
        <w:ind w:left="259" w:right="259"/>
        <w:jc w:val="left"/>
        <w:shd w:fill="EAF7F0"/>
        <w:contextualSpacing/>
      </w:pPr>
      <w:r>
        <w:rPr>
          <w:rFonts w:ascii="Calibri" w:hAnsi="Calibri"/>
          <w:b/>
          <w:i w:val="0"/>
          <w:color w:val="087A55"/>
          <w:sz w:val="19"/>
        </w:rPr>
        <w:t>OBJETIVO DEL PROYECTO</w:t>
        <w:br/>
      </w:r>
      <w:r>
        <w:rPr>
          <w:rFonts w:ascii="Calibri" w:hAnsi="Calibri"/>
          <w:b w:val="0"/>
          <w:i w:val="0"/>
          <w:color w:val="14251D"/>
          <w:sz w:val="24"/>
        </w:rPr>
        <w:t>Hacer operativa la Agenda ABC mediante el Sistema Territorial ABC, un sistema de información que conectará las prioridades de las comunidades con la respuesta coordinada del Estado y permitirá seguir sus resultados ambientales y económicos.</w:t>
      </w:r>
    </w:p>
    <w:p>
      <w:pPr>
        <w:pStyle w:val="Heading2"/>
        <w:keepNext/>
        <w:jc w:val="left"/>
      </w:pPr>
      <w:r>
        <w:t>La Agenda ABC impulsa tres cambios de fondo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 xml:space="preserve">El nuevo Gobierno de Colombia ha definido el ambiente como eje transversal de toda su acción y la Agenda ABC como la «carta de navegación» de su política ambiental. Toma su nombre de tres palabras: </w:t>
      </w:r>
      <w:r>
        <w:rPr>
          <w:rFonts w:ascii="Calibri" w:hAnsi="Calibri"/>
          <w:b w:val="0"/>
          <w:i/>
          <w:color w:val="14251D"/>
          <w:sz w:val="22"/>
        </w:rPr>
        <w:t>Agua</w:t>
      </w:r>
      <w:r>
        <w:rPr>
          <w:rFonts w:ascii="Calibri" w:hAnsi="Calibri"/>
          <w:b w:val="0"/>
          <w:i w:val="0"/>
          <w:color w:val="14251D"/>
          <w:sz w:val="22"/>
        </w:rPr>
        <w:t xml:space="preserve">, </w:t>
      </w:r>
      <w:r>
        <w:rPr>
          <w:rFonts w:ascii="Calibri" w:hAnsi="Calibri"/>
          <w:b w:val="0"/>
          <w:i/>
          <w:color w:val="14251D"/>
          <w:sz w:val="22"/>
        </w:rPr>
        <w:t>Biodiversidad</w:t>
      </w:r>
      <w:r>
        <w:rPr>
          <w:rFonts w:ascii="Calibri" w:hAnsi="Calibri"/>
          <w:b w:val="0"/>
          <w:i w:val="0"/>
          <w:color w:val="14251D"/>
          <w:sz w:val="22"/>
        </w:rPr>
        <w:t xml:space="preserve"> y </w:t>
      </w:r>
      <w:r>
        <w:rPr>
          <w:rFonts w:ascii="Calibri" w:hAnsi="Calibri"/>
          <w:b w:val="0"/>
          <w:i/>
          <w:color w:val="14251D"/>
          <w:sz w:val="22"/>
        </w:rPr>
        <w:t>Comunidades</w:t>
      </w:r>
      <w:r>
        <w:rPr>
          <w:rFonts w:ascii="Calibri" w:hAnsi="Calibri"/>
          <w:b w:val="0"/>
          <w:i w:val="0"/>
          <w:color w:val="14251D"/>
          <w:sz w:val="22"/>
        </w:rPr>
        <w:t xml:space="preserve">. Propone tres cambios: pasar de la sostenibilidad a la regeneración; integrar ambiente y desarrollo, haciendo del ambiente un criterio central de las decisiones públicas; y territorializar la política ambiental mediante prioridades construidas con las comunidades y autoridades de cada territorio. Esta visión está definida en dos documentos oficiales: la </w:t>
      </w:r>
      <w:hyperlink r:id="rId11">
        <w:r>
          <w:rPr>
            <w:color w:val="087A55"/>
            <w:u w:val="single"/>
            <w:rFonts w:ascii="Calibri" w:hAnsi="Calibri"/>
            <w:sz w:val="22"/>
          </w:rPr>
          <w:t>Agenda ABC nacional</w:t>
        </w:r>
      </w:hyperlink>
      <w:r>
        <w:rPr>
          <w:rFonts w:ascii="Calibri" w:hAnsi="Calibri"/>
          <w:b w:val="0"/>
          <w:i w:val="0"/>
          <w:color w:val="14251D"/>
          <w:sz w:val="22"/>
        </w:rPr>
        <w:t xml:space="preserve"> y el </w:t>
      </w:r>
      <w:hyperlink r:id="rId12">
        <w:r>
          <w:rPr>
            <w:color w:val="087A55"/>
            <w:u w:val="single"/>
            <w:rFonts w:ascii="Calibri" w:hAnsi="Calibri"/>
            <w:sz w:val="22"/>
          </w:rPr>
          <w:t>Programa Nacional Promotores ABC de la Regeneración</w:t>
        </w:r>
      </w:hyperlink>
      <w:r>
        <w:rPr>
          <w:rFonts w:ascii="Calibri" w:hAnsi="Calibri"/>
          <w:b w:val="0"/>
          <w:i w:val="0"/>
          <w:color w:val="14251D"/>
          <w:sz w:val="22"/>
        </w:rPr>
        <w:t>.</w:t>
      </w:r>
    </w:p>
    <w:p>
      <w:pPr>
        <w:pStyle w:val="Heading2"/>
        <w:keepNext/>
        <w:jc w:val="left"/>
      </w:pPr>
      <w:r>
        <w:t>El Sistema Territorial ABC llevará esta visión a la práctica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Conectará cada Agenda ABC Local con los apoyos del Estado, las empresas capaces de ejecutar los proyectos y las autorizaciones necesarias. El sistema se diseñará para que agentes de IA ayuden a encontrar las reglas y los apoyos aplicables, preparar solicitudes, seguir las respuestas y facilitar las decisiones de las autoridades.</w:t>
      </w:r>
    </w:p>
    <w:p>
      <w:pPr>
        <w:pStyle w:val="Heading2"/>
        <w:keepNext/>
        <w:jc w:val="left"/>
      </w:pPr>
      <w:r>
        <w:t>Información desde los territorios hasta la Presidencia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Los Promotores ABC, ciudadanos de cada territorio formados para trabajar con sus comunidades y autoridades, recogerán y reportarán información sobre las necesidades, los avances y los resultados desde el teléfono, incluso sin conexión. Esa misma información alimentará tableros de seguimiento adaptados a cada participante; un tablero presidencial mostrará el panorama nacional y permitirá llegar hasta cada territorio y caso concreto.</w:t>
      </w:r>
    </w:p>
    <w:p>
      <w:pPr>
        <w:pStyle w:val="Heading2"/>
        <w:keepNext/>
        <w:jc w:val="left"/>
      </w:pPr>
      <w:r>
        <w:t>Apoyo por tres años, con resultados desde el primero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Ministerio solicita un total indicativo de 3,6 millones de USD. Los resultados del primer año podrán verificarse antes de financiar el segundo.</w:t>
      </w:r>
    </w:p>
    <w:p>
      <w:pPr>
        <w:pStyle w:val="Heading1"/>
        <w:keepNext/>
        <w:jc w:val="left"/>
      </w:pPr>
      <w:r>
        <w:t>1. Contexto</w:t>
      </w:r>
    </w:p>
    <w:p>
      <w:pPr>
        <w:pStyle w:val="Heading2"/>
        <w:keepNext/>
        <w:jc w:val="left"/>
      </w:pPr>
      <w:r>
        <w:t>Una nueva visión del desarrollo</w:t>
      </w:r>
    </w:p>
    <w:p>
      <w:pPr>
        <w:pStyle w:val="Heading3"/>
        <w:keepNext/>
        <w:jc w:val="left"/>
      </w:pPr>
      <w:r>
        <w:t>Regenerar, no solo conservar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desarrollo debe restaurar y fortalecer los ecosistemas, no limitarse a conservarlos y reducir daños.</w:t>
      </w:r>
    </w:p>
    <w:p>
      <w:pPr>
        <w:pStyle w:val="Heading3"/>
        <w:keepNext/>
        <w:jc w:val="left"/>
      </w:pPr>
      <w:r>
        <w:t>Ambiente y desarrollo, una sola política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Regenerar el ambiente genera valor, empresas, empleo e ingresos. La inversión y los apoyos del Estado deben responder a ambas prioridades.</w:t>
      </w:r>
    </w:p>
    <w:p>
      <w:pPr>
        <w:pStyle w:val="Heading3"/>
        <w:keepNext/>
        <w:jc w:val="left"/>
      </w:pPr>
      <w:r>
        <w:t>Decidir desde el territorio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Las comunidades construyen las prioridades; el respaldo político local y la validación técnica permiten orientar recursos y apoyos.</w:t>
      </w:r>
    </w:p>
    <w:p>
      <w:pPr>
        <w:pStyle w:val="Heading2"/>
        <w:keepNext/>
        <w:jc w:val="left"/>
      </w:pPr>
      <w:r>
        <w:t>Tres dificultades para aplicar la visión</w:t>
      </w:r>
    </w:p>
    <w:p>
      <w:pPr>
        <w:pStyle w:val="Heading3"/>
        <w:keepNext/>
        <w:jc w:val="left"/>
      </w:pPr>
      <w:r>
        <w:t>Fragmentación y burocracia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Colombia cuenta con normas, instituciones y programas ambientales, pero se acumulan requisitos, se dispersan responsabilidades y los apoyos no siempre llegan a su destino. Algunos instrumentos permanecen en el papel, se administran de forma aislada o no responden a las condiciones del territorio.</w:t>
      </w:r>
    </w:p>
    <w:p>
      <w:pPr>
        <w:pStyle w:val="Heading3"/>
        <w:keepNext/>
        <w:jc w:val="left"/>
      </w:pPr>
      <w:r>
        <w:t>Falta de capacidad permanente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En la mayoría de los municipios no existe una capacidad local estable, formada y remunerada que conozca los instrumentos, trabaje con las comunidades y autoridades, y acompañe su ejecución de manera continua.</w:t>
      </w:r>
    </w:p>
    <w:p>
      <w:pPr>
        <w:pStyle w:val="Heading3"/>
        <w:keepNext/>
        <w:jc w:val="left"/>
      </w:pPr>
      <w:r>
        <w:t>Falta de información directa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país produce información institucional y satelital, pero no recibe regularmente datos recogidos y validados en cada territorio sobre sus necesidades. Sin ese conocimiento, es difícil orientar la respuesta, comprobar alertas y medir resultados.</w:t>
      </w:r>
    </w:p>
    <w:p>
      <w:pPr>
        <w:spacing w:before="100" w:after="240" w:line="288" w:lineRule="auto"/>
        <w:ind w:left="259" w:right="259"/>
        <w:jc w:val="left"/>
        <w:shd w:fill="EAF7F0"/>
        <w:contextualSpacing/>
      </w:pPr>
      <w:r>
        <w:rPr>
          <w:rFonts w:ascii="Calibri" w:hAnsi="Calibri"/>
          <w:b/>
          <w:i w:val="0"/>
          <w:color w:val="087A55"/>
          <w:sz w:val="19"/>
        </w:rPr>
        <w:t>CONDICIÓN PREVIA: RESTABLECER LA LEGALIDAD</w:t>
        <w:br/>
      </w:r>
      <w:r>
        <w:rPr>
          <w:rFonts w:ascii="Calibri" w:hAnsi="Calibri"/>
          <w:b w:val="0"/>
          <w:i w:val="0"/>
          <w:color w:val="14251D"/>
          <w:sz w:val="24"/>
        </w:rPr>
        <w:t>En los territorios afectados por explotaciones u ocupaciones ilícitas, la protección y el orden público deben coordinarse con la decisión ambiental, el financiamiento y la asesoría para que las actividades legales comiencen y se sostengan.</w:t>
      </w:r>
    </w:p>
    <w:p>
      <w:pPr>
        <w:pStyle w:val="Heading1"/>
        <w:keepNext/>
        <w:jc w:val="left"/>
      </w:pPr>
      <w:r>
        <w:t>2. El Sistema Territorial ABC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4389120" cy="4389120"/>
            <wp:docPr id="1" name="Picture 1" descr="Cuatro componentes alrededor del Sistema Territorial ABC" title="Diagrama del Sistema Territorial ABC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stema-territorial-abc-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jc w:val="left"/>
      </w:pPr>
      <w:r>
        <w:t>Territorio</w:t>
      </w:r>
    </w:p>
    <w:p>
      <w:pPr>
        <w:pStyle w:val="Heading3"/>
        <w:keepNext/>
        <w:jc w:val="left"/>
      </w:pPr>
      <w:r>
        <w:t>Crear y sostener la Red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sistema mostrará dónde trabajan los Promotores ABC, su formación y certificación, y permitirá organizar su acompañamiento.</w:t>
      </w:r>
    </w:p>
    <w:p>
      <w:pPr>
        <w:pStyle w:val="Heading3"/>
        <w:keepNext/>
        <w:jc w:val="left"/>
      </w:pPr>
      <w:r>
        <w:t>Construir la Agenda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Desde el teléfono, los Promotores elaborarán la Agenda ABC Local con su comunidad. La instancia territorial la adoptará y la autoridad ambiental validará sus aspectos técnicos.</w:t>
      </w:r>
    </w:p>
    <w:p>
      <w:pPr>
        <w:spacing w:before="100" w:after="240" w:line="288" w:lineRule="auto"/>
        <w:ind w:left="259" w:right="259"/>
        <w:jc w:val="left"/>
        <w:shd w:fill="EAF7F0"/>
        <w:contextualSpacing/>
      </w:pPr>
      <w:r>
        <w:rPr>
          <w:rFonts w:ascii="Calibri" w:hAnsi="Calibri"/>
          <w:b/>
          <w:i w:val="0"/>
          <w:color w:val="087A55"/>
          <w:sz w:val="19"/>
        </w:rPr>
        <w:t>TERRITORIO</w:t>
        <w:br/>
      </w:r>
      <w:r>
        <w:rPr>
          <w:rFonts w:ascii="Calibri" w:hAnsi="Calibri"/>
          <w:b w:val="0"/>
          <w:i w:val="0"/>
          <w:color w:val="14251D"/>
          <w:sz w:val="24"/>
        </w:rPr>
        <w:t>Escala prevista: 10.000 Promotores, 1.000 Agendas ABC Locales, 2.000 empresas comunitarias y 500 municipios que contratan servicios ambientales.</w:t>
      </w:r>
    </w:p>
    <w:p>
      <w:pPr>
        <w:pStyle w:val="Heading2"/>
        <w:keepNext/>
        <w:jc w:val="left"/>
      </w:pPr>
      <w:r>
        <w:t>Apoyo del Estado</w:t>
      </w:r>
    </w:p>
    <w:p>
      <w:pPr>
        <w:pStyle w:val="Heading3"/>
        <w:keepNext/>
        <w:jc w:val="left"/>
      </w:pPr>
      <w:r>
        <w:t>Una respuesta coordinada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sistema relacionará cada prioridad con protección y orden público, financiamiento, conocimiento y asesoría técnica.</w:t>
      </w:r>
    </w:p>
    <w:p>
      <w:pPr>
        <w:pStyle w:val="Heading3"/>
        <w:keepNext/>
        <w:jc w:val="left"/>
      </w:pPr>
      <w:r>
        <w:t>Una sola entrada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Catálogo Nacional reunirá las reglas y los apoyos. Una solicitud será dirigida a las entidades competentes y su respuesta quedará visible.</w:t>
      </w:r>
    </w:p>
    <w:p>
      <w:pPr>
        <w:spacing w:before="100" w:after="240" w:line="288" w:lineRule="auto"/>
        <w:ind w:left="259" w:right="259"/>
        <w:jc w:val="left"/>
        <w:shd w:fill="EAF7F0"/>
        <w:contextualSpacing/>
      </w:pPr>
      <w:r>
        <w:rPr>
          <w:rFonts w:ascii="Calibri" w:hAnsi="Calibri"/>
          <w:b/>
          <w:i w:val="0"/>
          <w:color w:val="087A55"/>
          <w:sz w:val="19"/>
        </w:rPr>
        <w:t>APOYO DEL ESTADO</w:t>
        <w:br/>
      </w:r>
      <w:r>
        <w:rPr>
          <w:rFonts w:ascii="Calibri" w:hAnsi="Calibri"/>
          <w:b w:val="0"/>
          <w:i w:val="0"/>
          <w:color w:val="14251D"/>
          <w:sz w:val="24"/>
        </w:rPr>
        <w:t>Con el tiempo, el Catálogo podrá incorporar cooperación e inversión privada, nacional e internacional.</w:t>
      </w:r>
    </w:p>
    <w:p>
      <w:pPr>
        <w:pStyle w:val="Heading2"/>
        <w:keepNext/>
        <w:jc w:val="left"/>
      </w:pPr>
      <w:r>
        <w:t>Empresas</w:t>
      </w:r>
    </w:p>
    <w:p>
      <w:pPr>
        <w:pStyle w:val="Heading3"/>
        <w:keepNext/>
        <w:jc w:val="left"/>
      </w:pPr>
      <w:r>
        <w:t>Capacidad para ejecutar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sistema identificará empresas capaces de realizar los proyectos; muchas podrán ser empresas comunitarias.</w:t>
      </w:r>
    </w:p>
    <w:p>
      <w:pPr>
        <w:pStyle w:val="Heading3"/>
        <w:keepNext/>
        <w:jc w:val="left"/>
      </w:pPr>
      <w:r>
        <w:t>Seguimiento contractual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Registrará los avances, los entregables, los pagos previstos en el contrato y el resultado final.</w:t>
      </w:r>
    </w:p>
    <w:p>
      <w:pPr>
        <w:pStyle w:val="Heading2"/>
        <w:keepNext/>
        <w:jc w:val="left"/>
      </w:pPr>
      <w:r>
        <w:t>Autorizaciones</w:t>
      </w:r>
    </w:p>
    <w:p>
      <w:pPr>
        <w:pStyle w:val="Heading3"/>
        <w:keepNext/>
        <w:jc w:val="left"/>
      </w:pPr>
      <w:r>
        <w:t>Reglas claras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Para cada autorización se publicará, de forma clara y legible tanto para las personas como para los agentes de IA, quién puede solicitarla, qué condiciones debe cumplir, qué documentos se exigen, quién decide y en qué plazo.</w:t>
      </w:r>
    </w:p>
    <w:p>
      <w:pPr>
        <w:pStyle w:val="Heading3"/>
        <w:keepNext/>
        <w:jc w:val="left"/>
      </w:pPr>
      <w:r>
        <w:t>Presentación asistida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Un agente de IA recuperará las reglas, reutilizará los datos autorizados y pedirá solamente lo que falte, facilitando la decisión de la autoridad.</w:t>
      </w:r>
    </w:p>
    <w:p>
      <w:pPr>
        <w:pStyle w:val="Heading2"/>
        <w:keepNext/>
        <w:jc w:val="left"/>
      </w:pPr>
      <w:r>
        <w:t>Información y tableros de seguimiento</w:t>
      </w:r>
    </w:p>
    <w:p>
      <w:pPr>
        <w:pStyle w:val="Heading3"/>
        <w:keepNext/>
        <w:jc w:val="left"/>
      </w:pPr>
      <w:r>
        <w:t>Un tablero para cada participante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Cada comunidad, Promotor, autoridad, entidad nacional y socio que financia verá la información necesaria para actuar y seguir los resultados.</w:t>
      </w:r>
    </w:p>
    <w:p>
      <w:pPr>
        <w:pStyle w:val="Heading3"/>
        <w:keepNext/>
        <w:jc w:val="left"/>
      </w:pPr>
      <w:r>
        <w:t>El tablero presidencial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Mostrará el panorama nacional y permitirá pasar de un indicador al territorio y al caso concreto.</w:t>
      </w:r>
    </w:p>
    <w:p>
      <w:pPr>
        <w:pStyle w:val="Heading1"/>
        <w:keepNext/>
        <w:jc w:val="left"/>
      </w:pPr>
      <w:r>
        <w:t>3. Implementación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proyecto se ejecutará durante tres años, con resultados utilizables y verificables desde el primero.</w:t>
      </w:r>
    </w:p>
    <w:p>
      <w:pPr>
        <w:spacing w:after="16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El Ministerio dirigirá la ejecución y la Conferencia de las Naciones Unidas sobre Comercio y Desarrollo (UNCTAD) será el principal socio técnico para el diseño del sistema, la aplicación de nuevas tecnologías y la transferencia de capacidades al equipo nacional.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FE7E2"/>
          <w:left w:val="single" w:sz="5" w:color="DFE7E2"/>
          <w:bottom w:val="single" w:sz="5" w:color="DFE7E2"/>
          <w:right w:val="single" w:sz="5" w:color="DFE7E2"/>
          <w:insideH w:val="single" w:sz="5" w:color="DFE7E2"/>
          <w:insideV w:val="single" w:sz="5" w:color="DFE7E2"/>
        </w:tblBorders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139"/>
            <w:vAlign w:val="center"/>
            <w:shd w:fill="EAF7F0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18"/>
              </w:rPr>
              <w:t>Año 1</w:t>
            </w:r>
          </w:p>
        </w:tc>
        <w:tc>
          <w:tcPr>
            <w:tcW w:type="dxa" w:w="3139"/>
            <w:vAlign w:val="center"/>
            <w:shd w:fill="EAF2F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18"/>
              </w:rPr>
              <w:t>Año 2</w:t>
            </w:r>
          </w:p>
        </w:tc>
        <w:tc>
          <w:tcPr>
            <w:tcW w:type="dxa" w:w="3139"/>
            <w:vAlign w:val="center"/>
            <w:shd w:fill="FBF3DC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18"/>
              </w:rPr>
              <w:t>Año 3</w:t>
            </w:r>
          </w:p>
        </w:tc>
      </w:tr>
      <w:tr>
        <w:tc>
          <w:tcPr>
            <w:tcW w:type="dxa" w:w="3139"/>
            <w:vAlign w:val="center"/>
            <w:shd w:fill="EAF7F0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14251D"/>
                <w:sz w:val="22"/>
              </w:rPr>
              <w:t>Territorio y respuesta del Estado</w:t>
            </w:r>
          </w:p>
        </w:tc>
        <w:tc>
          <w:tcPr>
            <w:tcW w:type="dxa" w:w="3139"/>
            <w:vAlign w:val="center"/>
            <w:shd w:fill="EAF2F7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14251D"/>
                <w:sz w:val="22"/>
              </w:rPr>
              <w:t>Empresas y autorizaciones</w:t>
            </w:r>
          </w:p>
        </w:tc>
        <w:tc>
          <w:tcPr>
            <w:tcW w:type="dxa" w:w="3139"/>
            <w:vAlign w:val="center"/>
            <w:shd w:fill="FBF3DC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14251D"/>
                <w:sz w:val="22"/>
              </w:rPr>
              <w:t>Consolidación y ampliación</w:t>
            </w:r>
          </w:p>
        </w:tc>
      </w:tr>
    </w:tbl>
    <w:p>
      <w:pPr>
        <w:pStyle w:val="Heading1"/>
        <w:keepNext/>
        <w:jc w:val="left"/>
      </w:pPr>
      <w:r>
        <w:t>4. Presupuesto indicativo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FE7E2"/>
          <w:left w:val="single" w:sz="5" w:color="DFE7E2"/>
          <w:bottom w:val="single" w:sz="5" w:color="DFE7E2"/>
          <w:right w:val="single" w:sz="5" w:color="DFE7E2"/>
          <w:insideH w:val="single" w:sz="5" w:color="DFE7E2"/>
          <w:insideV w:val="single" w:sz="5" w:color="DFE7E2"/>
        </w:tblBorders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139"/>
            <w:vAlign w:val="center"/>
            <w:shd w:fill="EAF7F0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20"/>
              </w:rPr>
              <w:t>Año 1</w:t>
            </w:r>
          </w:p>
        </w:tc>
        <w:tc>
          <w:tcPr>
            <w:tcW w:type="dxa" w:w="3139"/>
            <w:vAlign w:val="center"/>
            <w:shd w:fill="EAF2F7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20"/>
              </w:rPr>
              <w:t>Año 2</w:t>
            </w:r>
          </w:p>
        </w:tc>
        <w:tc>
          <w:tcPr>
            <w:tcW w:type="dxa" w:w="3139"/>
            <w:vAlign w:val="center"/>
            <w:shd w:fill="FBF3DC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87A55"/>
                <w:sz w:val="20"/>
              </w:rPr>
              <w:t>Año 3</w:t>
            </w:r>
          </w:p>
        </w:tc>
      </w:tr>
      <w:tr>
        <w:tc>
          <w:tcPr>
            <w:tcW w:type="dxa" w:w="3139"/>
            <w:vAlign w:val="center"/>
            <w:shd w:fill="EAF7F0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4251D"/>
                <w:sz w:val="22"/>
              </w:rPr>
              <w:t>Alrededor de 1,2 millones de USD</w:t>
            </w:r>
          </w:p>
        </w:tc>
        <w:tc>
          <w:tcPr>
            <w:tcW w:type="dxa" w:w="3139"/>
            <w:vAlign w:val="center"/>
            <w:shd w:fill="EAF2F7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4251D"/>
                <w:sz w:val="22"/>
              </w:rPr>
              <w:t>Alrededor de 1,2 millones de USD</w:t>
            </w:r>
          </w:p>
        </w:tc>
        <w:tc>
          <w:tcPr>
            <w:tcW w:type="dxa" w:w="3139"/>
            <w:vAlign w:val="center"/>
            <w:shd w:fill="FBF3DC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4251D"/>
                <w:sz w:val="22"/>
              </w:rPr>
              <w:t>Alrededor de 1,2 millones de USD</w:t>
            </w:r>
          </w:p>
        </w:tc>
      </w:tr>
    </w:tbl>
    <w:p>
      <w:pPr>
        <w:spacing w:before="100" w:after="240" w:line="288" w:lineRule="auto"/>
        <w:ind w:left="259" w:right="259"/>
        <w:jc w:val="left"/>
        <w:shd w:fill="EAF7F0"/>
        <w:contextualSpacing/>
      </w:pPr>
      <w:r>
        <w:rPr>
          <w:rFonts w:ascii="Calibri" w:hAnsi="Calibri"/>
          <w:b/>
          <w:i w:val="0"/>
          <w:color w:val="087A55"/>
          <w:sz w:val="19"/>
        </w:rPr>
        <w:t>TOTAL INDICATIVO</w:t>
        <w:br/>
      </w:r>
      <w:r>
        <w:rPr>
          <w:rFonts w:ascii="Calibri" w:hAnsi="Calibri"/>
          <w:b w:val="0"/>
          <w:i w:val="0"/>
          <w:color w:val="14251D"/>
          <w:sz w:val="24"/>
        </w:rPr>
        <w:t>3,6 millones de USD</w:t>
      </w:r>
    </w:p>
    <w:p>
      <w:pPr>
        <w:spacing w:after="0" w:line="300" w:lineRule="auto"/>
        <w:jc w:val="left"/>
      </w:pPr>
      <w:r>
        <w:rPr>
          <w:rFonts w:ascii="Calibri" w:hAnsi="Calibri"/>
          <w:b w:val="0"/>
          <w:i w:val="0"/>
          <w:color w:val="14251D"/>
          <w:sz w:val="22"/>
        </w:rPr>
        <w:t>La distribución entre la parte nacional y la local, el número de territorios del primer año y el plan de trabajo detallado se acordarán al inicio del proyecto.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181" w:bottom="1037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36159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536159"/>
        <w:sz w:val="17"/>
      </w:rPr>
      <w:t>Sistema Territorial ABC | Nota de proyecto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  <w:jc w:val="left"/>
    </w:pPr>
    <w:rPr>
      <w:rFonts w:ascii="Calibri" w:hAnsi="Calibri"/>
      <w:color w:val="1425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87A5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87A5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425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/documentos/Agenda_ABC_Nacional.pdf" TargetMode="External"/><Relationship Id="rId12" Type="http://schemas.openxmlformats.org/officeDocument/2006/relationships/hyperlink" Target="/documentos/Programa_Nacional_Promotores_ABC_v17.docx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Territorial ABC</dc:title>
  <dc:subject>El sistema de información de la Agenda ABC</dc:subject>
  <dc:creator>Ministry of Environment and Sustainable Development, Republic of Colombia</dc:creator>
  <cp:keywords>ABC Agenda; territorial development; environmental regeneration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