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alibri" w:hAnsi="Calibri"/>
          <w:b/>
          <w:i w:val="0"/>
          <w:color w:val="087A55"/>
          <w:sz w:val="19"/>
        </w:rPr>
        <w:t>PROJECT NOTE</w:t>
      </w:r>
    </w:p>
    <w:p>
      <w:pPr>
        <w:spacing w:after="40"/>
      </w:pPr>
      <w:r>
        <w:rPr>
          <w:rFonts w:ascii="Calibri" w:hAnsi="Calibri"/>
          <w:b/>
          <w:i w:val="0"/>
          <w:color w:val="14251D"/>
          <w:sz w:val="50"/>
        </w:rPr>
        <w:t>Territorial ABC System</w:t>
      </w:r>
    </w:p>
    <w:p>
      <w:pPr>
        <w:spacing w:after="200"/>
      </w:pPr>
      <w:r>
        <w:rPr>
          <w:rFonts w:ascii="Calibri" w:hAnsi="Calibri"/>
          <w:b w:val="0"/>
          <w:i w:val="0"/>
          <w:color w:val="536159"/>
          <w:sz w:val="26"/>
        </w:rPr>
        <w:t>The information system for the ABC Agenda</w:t>
      </w:r>
    </w:p>
    <w:p>
      <w:pPr>
        <w:spacing w:after="20"/>
      </w:pPr>
      <w:r>
        <w:rPr>
          <w:rFonts w:ascii="Calibri" w:hAnsi="Calibri"/>
          <w:b/>
          <w:i w:val="0"/>
          <w:color w:val="14251D"/>
          <w:sz w:val="21"/>
        </w:rPr>
        <w:t>Ministry of Environment and Sustainable Development, Republic of Colombia</w:t>
      </w:r>
    </w:p>
    <w:p>
      <w:pPr>
        <w:spacing w:after="320"/>
      </w:pPr>
      <w:r>
        <w:rPr>
          <w:rFonts w:ascii="Calibri" w:hAnsi="Calibri"/>
          <w:b w:val="0"/>
          <w:i w:val="0"/>
          <w:color w:val="536159"/>
          <w:sz w:val="19"/>
        </w:rPr>
        <w:t>21-08-2026</w:t>
      </w:r>
    </w:p>
    <w:p>
      <w:pPr>
        <w:pStyle w:val="Heading1"/>
        <w:keepNext/>
        <w:jc w:val="left"/>
      </w:pPr>
      <w:r>
        <w:t>Project summary</w:t>
      </w:r>
    </w:p>
    <w:p>
      <w:pPr>
        <w:spacing w:before="100" w:after="240" w:line="288" w:lineRule="auto"/>
        <w:ind w:left="259" w:right="259"/>
        <w:jc w:val="left"/>
        <w:shd w:fill="EAF7F0"/>
        <w:contextualSpacing/>
      </w:pPr>
      <w:r>
        <w:rPr>
          <w:rFonts w:ascii="Calibri" w:hAnsi="Calibri"/>
          <w:b/>
          <w:i w:val="0"/>
          <w:color w:val="087A55"/>
          <w:sz w:val="19"/>
        </w:rPr>
        <w:t>PROJECT OBJECTIVE</w:t>
        <w:br/>
      </w:r>
      <w:r>
        <w:rPr>
          <w:rFonts w:ascii="Calibri" w:hAnsi="Calibri"/>
          <w:b w:val="0"/>
          <w:i w:val="0"/>
          <w:color w:val="14251D"/>
          <w:sz w:val="24"/>
        </w:rPr>
        <w:t>Make the ABC Agenda operational through the Territorial ABC System, an information system that will connect community priorities with a coordinated State response and track environmental and economic results.</w:t>
      </w:r>
    </w:p>
    <w:p>
      <w:pPr>
        <w:pStyle w:val="Heading2"/>
        <w:keepNext/>
        <w:jc w:val="left"/>
      </w:pPr>
      <w:r>
        <w:t>The ABC Agenda advances three fundamental changes</w:t>
      </w:r>
    </w:p>
    <w:p>
      <w:pPr>
        <w:spacing w:after="160" w:line="300" w:lineRule="auto"/>
        <w:jc w:val="left"/>
      </w:pPr>
      <w:r>
        <w:rPr>
          <w:rFonts w:ascii="Calibri" w:hAnsi="Calibri"/>
          <w:b w:val="0"/>
          <w:i w:val="0"/>
          <w:color w:val="14251D"/>
          <w:sz w:val="22"/>
        </w:rPr>
        <w:t xml:space="preserve">Colombia's new Government has defined the environment as a cross-cutting priority for all its action and the ABC Agenda as the “road map” for its environmental policy. Its name stands for three words: </w:t>
      </w:r>
      <w:r>
        <w:rPr>
          <w:rFonts w:ascii="Calibri" w:hAnsi="Calibri"/>
          <w:b w:val="0"/>
          <w:i/>
          <w:color w:val="14251D"/>
          <w:sz w:val="22"/>
        </w:rPr>
        <w:t>Water</w:t>
      </w:r>
      <w:r>
        <w:rPr>
          <w:rFonts w:ascii="Calibri" w:hAnsi="Calibri"/>
          <w:b w:val="0"/>
          <w:i w:val="0"/>
          <w:color w:val="14251D"/>
          <w:sz w:val="22"/>
        </w:rPr>
        <w:t xml:space="preserve">, </w:t>
      </w:r>
      <w:r>
        <w:rPr>
          <w:rFonts w:ascii="Calibri" w:hAnsi="Calibri"/>
          <w:b w:val="0"/>
          <w:i/>
          <w:color w:val="14251D"/>
          <w:sz w:val="22"/>
        </w:rPr>
        <w:t>Biodiversity</w:t>
      </w:r>
      <w:r>
        <w:rPr>
          <w:rFonts w:ascii="Calibri" w:hAnsi="Calibri"/>
          <w:b w:val="0"/>
          <w:i w:val="0"/>
          <w:color w:val="14251D"/>
          <w:sz w:val="22"/>
        </w:rPr>
        <w:t xml:space="preserve"> and </w:t>
      </w:r>
      <w:r>
        <w:rPr>
          <w:rFonts w:ascii="Calibri" w:hAnsi="Calibri"/>
          <w:b w:val="0"/>
          <w:i/>
          <w:color w:val="14251D"/>
          <w:sz w:val="22"/>
        </w:rPr>
        <w:t>Communities</w:t>
      </w:r>
      <w:r>
        <w:rPr>
          <w:rFonts w:ascii="Calibri" w:hAnsi="Calibri"/>
          <w:b w:val="0"/>
          <w:i w:val="0"/>
          <w:color w:val="14251D"/>
          <w:sz w:val="22"/>
        </w:rPr>
        <w:t xml:space="preserve">. It proposes three changes: moving from sustainability to regeneration; bringing environment and development together by making the environment a central criterion for public decisions; and bringing environmental policy into the territories through priorities defined with the communities and authorities of each territory. This vision is set out in two official documents: the </w:t>
      </w:r>
      <w:hyperlink r:id="rId11">
        <w:r>
          <w:rPr>
            <w:color w:val="087A55"/>
            <w:u w:val="single"/>
            <w:rFonts w:ascii="Calibri" w:hAnsi="Calibri"/>
            <w:sz w:val="22"/>
          </w:rPr>
          <w:t>National ABC Agenda</w:t>
        </w:r>
      </w:hyperlink>
      <w:r>
        <w:rPr>
          <w:rFonts w:ascii="Calibri" w:hAnsi="Calibri"/>
          <w:b w:val="0"/>
          <w:i w:val="0"/>
          <w:color w:val="14251D"/>
          <w:sz w:val="22"/>
        </w:rPr>
        <w:t xml:space="preserve"> and the </w:t>
      </w:r>
      <w:hyperlink r:id="rId12">
        <w:r>
          <w:rPr>
            <w:color w:val="087A55"/>
            <w:u w:val="single"/>
            <w:rFonts w:ascii="Calibri" w:hAnsi="Calibri"/>
            <w:sz w:val="22"/>
          </w:rPr>
          <w:t>Programa Nacional Promotores ABC de la Regeneración</w:t>
        </w:r>
      </w:hyperlink>
      <w:r>
        <w:rPr>
          <w:rFonts w:ascii="Calibri" w:hAnsi="Calibri"/>
          <w:b w:val="0"/>
          <w:i w:val="0"/>
          <w:color w:val="14251D"/>
          <w:sz w:val="22"/>
        </w:rPr>
        <w:t>.</w:t>
      </w:r>
    </w:p>
    <w:p>
      <w:pPr>
        <w:pStyle w:val="Heading2"/>
        <w:keepNext/>
        <w:jc w:val="left"/>
      </w:pPr>
      <w:r>
        <w:t>The Territorial ABC System will put this vision into practice</w:t>
      </w:r>
    </w:p>
    <w:p>
      <w:pPr>
        <w:spacing w:after="160" w:line="300" w:lineRule="auto"/>
        <w:jc w:val="left"/>
      </w:pPr>
      <w:r>
        <w:rPr>
          <w:rFonts w:ascii="Calibri" w:hAnsi="Calibri"/>
          <w:b w:val="0"/>
          <w:i w:val="0"/>
          <w:color w:val="14251D"/>
          <w:sz w:val="22"/>
        </w:rPr>
        <w:t>It will connect each Local ABC Agenda with State support, enterprises able to implement projects and the necessary authorisations. The system will be designed so that AI agents can help find applicable rules and support, prepare applications, follow responses and facilitate decisions by the competent authorities.</w:t>
      </w:r>
    </w:p>
    <w:p>
      <w:pPr>
        <w:pStyle w:val="Heading2"/>
        <w:keepNext/>
        <w:jc w:val="left"/>
      </w:pPr>
      <w:r>
        <w:t>Information from the territories to the Presidency</w:t>
      </w:r>
    </w:p>
    <w:p>
      <w:pPr>
        <w:spacing w:after="160" w:line="300" w:lineRule="auto"/>
        <w:jc w:val="left"/>
      </w:pPr>
      <w:r>
        <w:rPr>
          <w:rFonts w:ascii="Calibri" w:hAnsi="Calibri"/>
          <w:b w:val="0"/>
          <w:i w:val="0"/>
          <w:color w:val="14251D"/>
          <w:sz w:val="22"/>
        </w:rPr>
        <w:t>ABC Promoters, citizens trained in each territory to work with their communities and authorities, will collect and report information on needs, progress and results using a phone, including while offline. The same information will feed monitoring dashboards adapted to each participant; a presidential dashboard will show the national picture and allow users to drill down to each territory and individual case.</w:t>
      </w:r>
    </w:p>
    <w:p>
      <w:pPr>
        <w:pStyle w:val="Heading2"/>
        <w:keepNext/>
        <w:jc w:val="left"/>
      </w:pPr>
      <w:r>
        <w:t>Three years of support, with results from year one</w:t>
      </w:r>
    </w:p>
    <w:p>
      <w:pPr>
        <w:spacing w:after="160" w:line="300" w:lineRule="auto"/>
        <w:jc w:val="left"/>
      </w:pPr>
      <w:r>
        <w:rPr>
          <w:rFonts w:ascii="Calibri" w:hAnsi="Calibri"/>
          <w:b w:val="0"/>
          <w:i w:val="0"/>
          <w:color w:val="14251D"/>
          <w:sz w:val="22"/>
        </w:rPr>
        <w:t>The Ministry is seeking an indicative total of USD 3.6 million. The results of the first year can be verified before funding the second.</w:t>
      </w:r>
    </w:p>
    <w:p>
      <w:pPr>
        <w:pStyle w:val="Heading1"/>
        <w:keepNext/>
        <w:jc w:val="left"/>
      </w:pPr>
      <w:r>
        <w:t>1. Context</w:t>
      </w:r>
    </w:p>
    <w:p>
      <w:pPr>
        <w:pStyle w:val="Heading2"/>
        <w:keepNext/>
        <w:jc w:val="left"/>
      </w:pPr>
      <w:r>
        <w:t>A new vision of development</w:t>
      </w:r>
    </w:p>
    <w:p>
      <w:pPr>
        <w:pStyle w:val="Heading3"/>
        <w:keepNext/>
        <w:jc w:val="left"/>
      </w:pPr>
      <w:r>
        <w:t>Regenerate, not only conserve</w:t>
      </w:r>
    </w:p>
    <w:p>
      <w:pPr>
        <w:spacing w:after="160" w:line="300" w:lineRule="auto"/>
        <w:jc w:val="left"/>
      </w:pPr>
      <w:r>
        <w:rPr>
          <w:rFonts w:ascii="Calibri" w:hAnsi="Calibri"/>
          <w:b w:val="0"/>
          <w:i w:val="0"/>
          <w:color w:val="14251D"/>
          <w:sz w:val="22"/>
        </w:rPr>
        <w:t>Development must restore and strengthen ecosystems, rather than merely conserve them and reduce damage.</w:t>
      </w:r>
    </w:p>
    <w:p>
      <w:pPr>
        <w:pStyle w:val="Heading3"/>
        <w:keepNext/>
        <w:jc w:val="left"/>
      </w:pPr>
      <w:r>
        <w:t>Environment and development as one policy</w:t>
      </w:r>
    </w:p>
    <w:p>
      <w:pPr>
        <w:spacing w:after="160" w:line="300" w:lineRule="auto"/>
        <w:jc w:val="left"/>
      </w:pPr>
      <w:r>
        <w:rPr>
          <w:rFonts w:ascii="Calibri" w:hAnsi="Calibri"/>
          <w:b w:val="0"/>
          <w:i w:val="0"/>
          <w:color w:val="14251D"/>
          <w:sz w:val="22"/>
        </w:rPr>
        <w:t>Regenerating the environment creates value, enterprises, jobs and income. State investment and support must serve both priorities.</w:t>
      </w:r>
    </w:p>
    <w:p>
      <w:pPr>
        <w:pStyle w:val="Heading3"/>
        <w:keepNext/>
        <w:jc w:val="left"/>
      </w:pPr>
      <w:r>
        <w:t>Decisions built in the territories</w:t>
      </w:r>
    </w:p>
    <w:p>
      <w:pPr>
        <w:spacing w:after="160" w:line="300" w:lineRule="auto"/>
        <w:jc w:val="left"/>
      </w:pPr>
      <w:r>
        <w:rPr>
          <w:rFonts w:ascii="Calibri" w:hAnsi="Calibri"/>
          <w:b w:val="0"/>
          <w:i w:val="0"/>
          <w:color w:val="14251D"/>
          <w:sz w:val="22"/>
        </w:rPr>
        <w:t>Communities define the priorities; local political endorsement and technical validation help direct resources and support.</w:t>
      </w:r>
    </w:p>
    <w:p>
      <w:pPr>
        <w:pStyle w:val="Heading2"/>
        <w:keepNext/>
        <w:jc w:val="left"/>
      </w:pPr>
      <w:r>
        <w:t>Three obstacles to applying the vision</w:t>
      </w:r>
    </w:p>
    <w:p>
      <w:pPr>
        <w:pStyle w:val="Heading3"/>
        <w:keepNext/>
        <w:jc w:val="left"/>
      </w:pPr>
      <w:r>
        <w:t>Fragmentation and bureaucracy</w:t>
      </w:r>
    </w:p>
    <w:p>
      <w:pPr>
        <w:spacing w:after="160" w:line="300" w:lineRule="auto"/>
        <w:jc w:val="left"/>
      </w:pPr>
      <w:r>
        <w:rPr>
          <w:rFonts w:ascii="Calibri" w:hAnsi="Calibri"/>
          <w:b w:val="0"/>
          <w:i w:val="0"/>
          <w:color w:val="14251D"/>
          <w:sz w:val="22"/>
        </w:rPr>
        <w:t>Colombia has environmental rules, institutions and programmes, but requirements accumulate, responsibilities are dispersed and support does not always reach its intended destination. Some instruments remain on paper, are administered in isolation or do not respond to conditions in the territory.</w:t>
      </w:r>
    </w:p>
    <w:p>
      <w:pPr>
        <w:pStyle w:val="Heading3"/>
        <w:keepNext/>
        <w:jc w:val="left"/>
      </w:pPr>
      <w:r>
        <w:t>No permanent local capacity</w:t>
      </w:r>
    </w:p>
    <w:p>
      <w:pPr>
        <w:spacing w:after="160" w:line="300" w:lineRule="auto"/>
        <w:jc w:val="left"/>
      </w:pPr>
      <w:r>
        <w:rPr>
          <w:rFonts w:ascii="Calibri" w:hAnsi="Calibri"/>
          <w:b w:val="0"/>
          <w:i w:val="0"/>
          <w:color w:val="14251D"/>
          <w:sz w:val="22"/>
        </w:rPr>
        <w:t>Most municipalities do not have stable, trained and remunerated local capacity that understands the instruments, works with communities and authorities, and supports implementation continuously.</w:t>
      </w:r>
    </w:p>
    <w:p>
      <w:pPr>
        <w:pStyle w:val="Heading3"/>
        <w:keepNext/>
        <w:jc w:val="left"/>
      </w:pPr>
      <w:r>
        <w:t>No regular direct information</w:t>
      </w:r>
    </w:p>
    <w:p>
      <w:pPr>
        <w:spacing w:after="160" w:line="300" w:lineRule="auto"/>
        <w:jc w:val="left"/>
      </w:pPr>
      <w:r>
        <w:rPr>
          <w:rFonts w:ascii="Calibri" w:hAnsi="Calibri"/>
          <w:b w:val="0"/>
          <w:i w:val="0"/>
          <w:color w:val="14251D"/>
          <w:sz w:val="22"/>
        </w:rPr>
        <w:t>The country produces institutional and satellite information, but does not regularly receive data collected and validated in each territory about its needs. Without this knowledge, it is difficult to target the response, confirm alerts and measure results.</w:t>
      </w:r>
    </w:p>
    <w:p>
      <w:pPr>
        <w:spacing w:before="100" w:after="240" w:line="288" w:lineRule="auto"/>
        <w:ind w:left="259" w:right="259"/>
        <w:jc w:val="left"/>
        <w:shd w:fill="EAF7F0"/>
        <w:contextualSpacing/>
      </w:pPr>
      <w:r>
        <w:rPr>
          <w:rFonts w:ascii="Calibri" w:hAnsi="Calibri"/>
          <w:b/>
          <w:i w:val="0"/>
          <w:color w:val="087A55"/>
          <w:sz w:val="19"/>
        </w:rPr>
        <w:t>PRECONDITION: RESTORE THE RULE OF LAW</w:t>
        <w:br/>
      </w:r>
      <w:r>
        <w:rPr>
          <w:rFonts w:ascii="Calibri" w:hAnsi="Calibri"/>
          <w:b w:val="0"/>
          <w:i w:val="0"/>
          <w:color w:val="14251D"/>
          <w:sz w:val="24"/>
        </w:rPr>
        <w:t>In territories affected by illegal exploitation or occupation, protection and public security must be coordinated with environmental decisions, financing and advisory support so that legal activities can begin and be sustained.</w:t>
      </w:r>
    </w:p>
    <w:p>
      <w:pPr>
        <w:pStyle w:val="Heading1"/>
        <w:keepNext/>
        <w:jc w:val="left"/>
      </w:pPr>
      <w:r>
        <w:t>2. The Territorial ABC System</w:t>
      </w:r>
    </w:p>
    <w:p>
      <w:pPr>
        <w:spacing w:after="200"/>
        <w:jc w:val="center"/>
      </w:pPr>
      <w:r>
        <w:drawing>
          <wp:inline xmlns:a="http://schemas.openxmlformats.org/drawingml/2006/main" xmlns:pic="http://schemas.openxmlformats.org/drawingml/2006/picture">
            <wp:extent cx="4389120" cy="4389120"/>
            <wp:docPr id="1" name="Picture 1" descr="Four components surrounding the Territorial ABC System" title="Territorial ABC System diagram"/>
            <wp:cNvGraphicFramePr>
              <a:graphicFrameLocks noChangeAspect="1"/>
            </wp:cNvGraphicFramePr>
            <a:graphic>
              <a:graphicData uri="http://schemas.openxmlformats.org/drawingml/2006/picture">
                <pic:pic>
                  <pic:nvPicPr>
                    <pic:cNvPr id="0" name="territorial-abc-system-en.png"/>
                    <pic:cNvPicPr/>
                  </pic:nvPicPr>
                  <pic:blipFill>
                    <a:blip r:embed="rId13"/>
                    <a:stretch>
                      <a:fillRect/>
                    </a:stretch>
                  </pic:blipFill>
                  <pic:spPr>
                    <a:xfrm>
                      <a:off x="0" y="0"/>
                      <a:ext cx="4389120" cy="4389120"/>
                    </a:xfrm>
                    <a:prstGeom prst="rect"/>
                  </pic:spPr>
                </pic:pic>
              </a:graphicData>
            </a:graphic>
          </wp:inline>
        </w:drawing>
      </w:r>
    </w:p>
    <w:p>
      <w:pPr>
        <w:pStyle w:val="Heading2"/>
        <w:keepNext/>
        <w:jc w:val="left"/>
      </w:pPr>
      <w:r>
        <w:t>Territory</w:t>
      </w:r>
    </w:p>
    <w:p>
      <w:pPr>
        <w:pStyle w:val="Heading3"/>
        <w:keepNext/>
        <w:jc w:val="left"/>
      </w:pPr>
      <w:r>
        <w:t>Create and sustain the Network</w:t>
      </w:r>
    </w:p>
    <w:p>
      <w:pPr>
        <w:spacing w:after="160" w:line="300" w:lineRule="auto"/>
        <w:jc w:val="left"/>
      </w:pPr>
      <w:r>
        <w:rPr>
          <w:rFonts w:ascii="Calibri" w:hAnsi="Calibri"/>
          <w:b w:val="0"/>
          <w:i w:val="0"/>
          <w:color w:val="14251D"/>
          <w:sz w:val="22"/>
        </w:rPr>
        <w:t>The system will show where ABC Promoters work, their training and certification, and will help organise their continued support.</w:t>
      </w:r>
    </w:p>
    <w:p>
      <w:pPr>
        <w:pStyle w:val="Heading3"/>
        <w:keepNext/>
        <w:jc w:val="left"/>
      </w:pPr>
      <w:r>
        <w:t>Build the Agenda</w:t>
      </w:r>
    </w:p>
    <w:p>
      <w:pPr>
        <w:spacing w:after="160" w:line="300" w:lineRule="auto"/>
        <w:jc w:val="left"/>
      </w:pPr>
      <w:r>
        <w:rPr>
          <w:rFonts w:ascii="Calibri" w:hAnsi="Calibri"/>
          <w:b w:val="0"/>
          <w:i w:val="0"/>
          <w:color w:val="14251D"/>
          <w:sz w:val="22"/>
        </w:rPr>
        <w:t>Using a phone, Promoters will prepare the Local ABC Agenda with their community. The territorial decision-making body will adopt it and the environmental authority will validate its technical aspects.</w:t>
      </w:r>
    </w:p>
    <w:p>
      <w:pPr>
        <w:spacing w:before="100" w:after="240" w:line="288" w:lineRule="auto"/>
        <w:ind w:left="259" w:right="259"/>
        <w:jc w:val="left"/>
        <w:shd w:fill="EAF7F0"/>
        <w:contextualSpacing/>
      </w:pPr>
      <w:r>
        <w:rPr>
          <w:rFonts w:ascii="Calibri" w:hAnsi="Calibri"/>
          <w:b/>
          <w:i w:val="0"/>
          <w:color w:val="087A55"/>
          <w:sz w:val="19"/>
        </w:rPr>
        <w:t>TERRITORY</w:t>
        <w:br/>
      </w:r>
      <w:r>
        <w:rPr>
          <w:rFonts w:ascii="Calibri" w:hAnsi="Calibri"/>
          <w:b w:val="0"/>
          <w:i w:val="0"/>
          <w:color w:val="14251D"/>
          <w:sz w:val="24"/>
        </w:rPr>
        <w:t>Planned scale: 10,000 Promoters, 1,000 Local ABC Agendas, 2,000 community enterprises and 500 municipalities contracting environmental services.</w:t>
      </w:r>
    </w:p>
    <w:p>
      <w:pPr>
        <w:pStyle w:val="Heading2"/>
        <w:keepNext/>
        <w:jc w:val="left"/>
      </w:pPr>
      <w:r>
        <w:t>State Support</w:t>
      </w:r>
    </w:p>
    <w:p>
      <w:pPr>
        <w:pStyle w:val="Heading3"/>
        <w:keepNext/>
        <w:jc w:val="left"/>
      </w:pPr>
      <w:r>
        <w:t>A coordinated response</w:t>
      </w:r>
    </w:p>
    <w:p>
      <w:pPr>
        <w:spacing w:after="160" w:line="300" w:lineRule="auto"/>
        <w:jc w:val="left"/>
      </w:pPr>
      <w:r>
        <w:rPr>
          <w:rFonts w:ascii="Calibri" w:hAnsi="Calibri"/>
          <w:b w:val="0"/>
          <w:i w:val="0"/>
          <w:color w:val="14251D"/>
          <w:sz w:val="22"/>
        </w:rPr>
        <w:t>The system will connect each priority with protection and public security, financing, knowledge and technical advice.</w:t>
      </w:r>
    </w:p>
    <w:p>
      <w:pPr>
        <w:pStyle w:val="Heading3"/>
        <w:keepNext/>
        <w:jc w:val="left"/>
      </w:pPr>
      <w:r>
        <w:t>A single entry point</w:t>
      </w:r>
    </w:p>
    <w:p>
      <w:pPr>
        <w:spacing w:after="160" w:line="300" w:lineRule="auto"/>
        <w:jc w:val="left"/>
      </w:pPr>
      <w:r>
        <w:rPr>
          <w:rFonts w:ascii="Calibri" w:hAnsi="Calibri"/>
          <w:b w:val="0"/>
          <w:i w:val="0"/>
          <w:color w:val="14251D"/>
          <w:sz w:val="22"/>
        </w:rPr>
        <w:t>The National Catalogue will bring together the rules and available support. One application will be routed to the competent entities and their response will remain visible.</w:t>
      </w:r>
    </w:p>
    <w:p>
      <w:pPr>
        <w:spacing w:before="100" w:after="240" w:line="288" w:lineRule="auto"/>
        <w:ind w:left="259" w:right="259"/>
        <w:jc w:val="left"/>
        <w:shd w:fill="EAF7F0"/>
        <w:contextualSpacing/>
      </w:pPr>
      <w:r>
        <w:rPr>
          <w:rFonts w:ascii="Calibri" w:hAnsi="Calibri"/>
          <w:b/>
          <w:i w:val="0"/>
          <w:color w:val="087A55"/>
          <w:sz w:val="19"/>
        </w:rPr>
        <w:t>STATE SUPPORT</w:t>
        <w:br/>
      </w:r>
      <w:r>
        <w:rPr>
          <w:rFonts w:ascii="Calibri" w:hAnsi="Calibri"/>
          <w:b w:val="0"/>
          <w:i w:val="0"/>
          <w:color w:val="14251D"/>
          <w:sz w:val="24"/>
        </w:rPr>
        <w:t>Over time, the Catalogue may incorporate cooperation and private investment, both national and international.</w:t>
      </w:r>
    </w:p>
    <w:p>
      <w:pPr>
        <w:pStyle w:val="Heading2"/>
        <w:keepNext/>
        <w:jc w:val="left"/>
      </w:pPr>
      <w:r>
        <w:t>Enterprises</w:t>
      </w:r>
    </w:p>
    <w:p>
      <w:pPr>
        <w:pStyle w:val="Heading3"/>
        <w:keepNext/>
        <w:jc w:val="left"/>
      </w:pPr>
      <w:r>
        <w:t>Capacity to implement</w:t>
      </w:r>
    </w:p>
    <w:p>
      <w:pPr>
        <w:spacing w:after="160" w:line="300" w:lineRule="auto"/>
        <w:jc w:val="left"/>
      </w:pPr>
      <w:r>
        <w:rPr>
          <w:rFonts w:ascii="Calibri" w:hAnsi="Calibri"/>
          <w:b w:val="0"/>
          <w:i w:val="0"/>
          <w:color w:val="14251D"/>
          <w:sz w:val="22"/>
        </w:rPr>
        <w:t>The system will identify enterprises able to implement projects; many may be community enterprises.</w:t>
      </w:r>
    </w:p>
    <w:p>
      <w:pPr>
        <w:pStyle w:val="Heading3"/>
        <w:keepNext/>
        <w:jc w:val="left"/>
      </w:pPr>
      <w:r>
        <w:t>Contract monitoring</w:t>
      </w:r>
    </w:p>
    <w:p>
      <w:pPr>
        <w:spacing w:after="160" w:line="300" w:lineRule="auto"/>
        <w:jc w:val="left"/>
      </w:pPr>
      <w:r>
        <w:rPr>
          <w:rFonts w:ascii="Calibri" w:hAnsi="Calibri"/>
          <w:b w:val="0"/>
          <w:i w:val="0"/>
          <w:color w:val="14251D"/>
          <w:sz w:val="22"/>
        </w:rPr>
        <w:t>It will record progress, deliverables, payments scheduled in the contract and the final result.</w:t>
      </w:r>
    </w:p>
    <w:p>
      <w:pPr>
        <w:pStyle w:val="Heading2"/>
        <w:keepNext/>
        <w:jc w:val="left"/>
      </w:pPr>
      <w:r>
        <w:t>Authorisations</w:t>
      </w:r>
    </w:p>
    <w:p>
      <w:pPr>
        <w:pStyle w:val="Heading3"/>
        <w:keepNext/>
        <w:jc w:val="left"/>
      </w:pPr>
      <w:r>
        <w:t>Clear rules</w:t>
      </w:r>
    </w:p>
    <w:p>
      <w:pPr>
        <w:spacing w:after="160" w:line="300" w:lineRule="auto"/>
        <w:jc w:val="left"/>
      </w:pPr>
      <w:r>
        <w:rPr>
          <w:rFonts w:ascii="Calibri" w:hAnsi="Calibri"/>
          <w:b w:val="0"/>
          <w:i w:val="0"/>
          <w:color w:val="14251D"/>
          <w:sz w:val="22"/>
        </w:rPr>
        <w:t>For each authorisation, the system will publish in a form that is clear and readable by both people and AI agents who may apply, which conditions must be met, which documents are required, who decides and within what time.</w:t>
      </w:r>
    </w:p>
    <w:p>
      <w:pPr>
        <w:pStyle w:val="Heading3"/>
        <w:keepNext/>
        <w:jc w:val="left"/>
      </w:pPr>
      <w:r>
        <w:t>Assisted submission</w:t>
      </w:r>
    </w:p>
    <w:p>
      <w:pPr>
        <w:spacing w:after="160" w:line="300" w:lineRule="auto"/>
        <w:jc w:val="left"/>
      </w:pPr>
      <w:r>
        <w:rPr>
          <w:rFonts w:ascii="Calibri" w:hAnsi="Calibri"/>
          <w:b w:val="0"/>
          <w:i w:val="0"/>
          <w:color w:val="14251D"/>
          <w:sz w:val="22"/>
        </w:rPr>
        <w:t>An AI agent will retrieve the rules, reuse authorised data and request only what is missing, facilitating the authority's decision.</w:t>
      </w:r>
    </w:p>
    <w:p>
      <w:pPr>
        <w:pStyle w:val="Heading2"/>
        <w:keepNext/>
        <w:jc w:val="left"/>
      </w:pPr>
      <w:r>
        <w:t>Information and monitoring dashboards</w:t>
      </w:r>
    </w:p>
    <w:p>
      <w:pPr>
        <w:pStyle w:val="Heading3"/>
        <w:keepNext/>
        <w:jc w:val="left"/>
      </w:pPr>
      <w:r>
        <w:t>A dashboard for each participant</w:t>
      </w:r>
    </w:p>
    <w:p>
      <w:pPr>
        <w:spacing w:after="160" w:line="300" w:lineRule="auto"/>
        <w:jc w:val="left"/>
      </w:pPr>
      <w:r>
        <w:rPr>
          <w:rFonts w:ascii="Calibri" w:hAnsi="Calibri"/>
          <w:b w:val="0"/>
          <w:i w:val="0"/>
          <w:color w:val="14251D"/>
          <w:sz w:val="22"/>
        </w:rPr>
        <w:t>Each community, Promoter, authority, national entity and funding partner will see the information needed to act and monitor results.</w:t>
      </w:r>
    </w:p>
    <w:p>
      <w:pPr>
        <w:pStyle w:val="Heading3"/>
        <w:keepNext/>
        <w:jc w:val="left"/>
      </w:pPr>
      <w:r>
        <w:t>The presidential dashboard</w:t>
      </w:r>
    </w:p>
    <w:p>
      <w:pPr>
        <w:spacing w:after="160" w:line="300" w:lineRule="auto"/>
        <w:jc w:val="left"/>
      </w:pPr>
      <w:r>
        <w:rPr>
          <w:rFonts w:ascii="Calibri" w:hAnsi="Calibri"/>
          <w:b w:val="0"/>
          <w:i w:val="0"/>
          <w:color w:val="14251D"/>
          <w:sz w:val="22"/>
        </w:rPr>
        <w:t>It will show the national picture and allow users to move from an indicator to the relevant territory and individual case.</w:t>
      </w:r>
    </w:p>
    <w:p>
      <w:pPr>
        <w:pStyle w:val="Heading1"/>
        <w:keepNext/>
        <w:jc w:val="left"/>
      </w:pPr>
      <w:r>
        <w:t>3. Implementation</w:t>
      </w:r>
    </w:p>
    <w:p>
      <w:pPr>
        <w:spacing w:after="160" w:line="300" w:lineRule="auto"/>
        <w:jc w:val="left"/>
      </w:pPr>
      <w:r>
        <w:rPr>
          <w:rFonts w:ascii="Calibri" w:hAnsi="Calibri"/>
          <w:b w:val="0"/>
          <w:i w:val="0"/>
          <w:color w:val="14251D"/>
          <w:sz w:val="22"/>
        </w:rPr>
        <w:t>The project will be implemented over three years, with usable and verifiable results from the first year.</w:t>
      </w:r>
    </w:p>
    <w:p>
      <w:pPr>
        <w:spacing w:after="160" w:line="300" w:lineRule="auto"/>
        <w:jc w:val="left"/>
      </w:pPr>
      <w:r>
        <w:rPr>
          <w:rFonts w:ascii="Calibri" w:hAnsi="Calibri"/>
          <w:b w:val="0"/>
          <w:i w:val="0"/>
          <w:color w:val="14251D"/>
          <w:sz w:val="22"/>
        </w:rPr>
        <w:t>The Ministry will lead implementation and the United Nations Conference on Trade and Development (UNCTAD) will be the principal technical partner for system design, the application of new technologies and the transfer of capabilities to the national team.</w:t>
      </w:r>
    </w:p>
    <w:tbl>
      <w:tblPr>
        <w:tblW w:type="auto" w:w="0"/>
        <w:jc w:val="center"/>
        <w:tblLayout w:type="fixed"/>
        <w:tblLook w:firstColumn="1" w:firstRow="1" w:lastColumn="0" w:lastRow="0" w:noHBand="0" w:noVBand="1" w:val="04A0"/>
        <w:tblBorders>
          <w:top w:val="single" w:sz="5" w:color="DFE7E2"/>
          <w:left w:val="single" w:sz="5" w:color="DFE7E2"/>
          <w:bottom w:val="single" w:sz="5" w:color="DFE7E2"/>
          <w:right w:val="single" w:sz="5" w:color="DFE7E2"/>
          <w:insideH w:val="single" w:sz="5" w:color="DFE7E2"/>
          <w:insideV w:val="single" w:sz="5" w:color="DFE7E2"/>
        </w:tblBorders>
      </w:tblPr>
      <w:tblGrid>
        <w:gridCol w:w="3293"/>
        <w:gridCol w:w="3293"/>
        <w:gridCol w:w="3293"/>
      </w:tblGrid>
      <w:tr>
        <w:trPr>
          <w:tblHeader w:val="true"/>
        </w:trPr>
        <w:tc>
          <w:tcPr>
            <w:tcW w:type="dxa" w:w="3139"/>
            <w:vAlign w:val="center"/>
            <w:shd w:fill="EAF7F0"/>
            <w:tcMar>
              <w:top w:w="100" w:type="dxa"/>
              <w:start w:w="160" w:type="dxa"/>
              <w:bottom w:w="100" w:type="dxa"/>
              <w:end w:w="160" w:type="dxa"/>
            </w:tcMar>
          </w:tcPr>
          <w:p>
            <w:pPr>
              <w:jc w:val="left"/>
            </w:pPr>
            <w:r>
              <w:rPr>
                <w:rFonts w:ascii="Calibri" w:hAnsi="Calibri"/>
                <w:b/>
                <w:i w:val="0"/>
                <w:color w:val="087A55"/>
                <w:sz w:val="18"/>
              </w:rPr>
              <w:t>Year 1</w:t>
            </w:r>
          </w:p>
        </w:tc>
        <w:tc>
          <w:tcPr>
            <w:tcW w:type="dxa" w:w="3139"/>
            <w:vAlign w:val="center"/>
            <w:shd w:fill="EAF2F7"/>
            <w:tcMar>
              <w:top w:w="100" w:type="dxa"/>
              <w:start w:w="160" w:type="dxa"/>
              <w:bottom w:w="100" w:type="dxa"/>
              <w:end w:w="160" w:type="dxa"/>
            </w:tcMar>
          </w:tcPr>
          <w:p>
            <w:pPr>
              <w:jc w:val="left"/>
            </w:pPr>
            <w:r>
              <w:rPr>
                <w:rFonts w:ascii="Calibri" w:hAnsi="Calibri"/>
                <w:b/>
                <w:i w:val="0"/>
                <w:color w:val="087A55"/>
                <w:sz w:val="18"/>
              </w:rPr>
              <w:t>Year 2</w:t>
            </w:r>
          </w:p>
        </w:tc>
        <w:tc>
          <w:tcPr>
            <w:tcW w:type="dxa" w:w="3139"/>
            <w:vAlign w:val="center"/>
            <w:shd w:fill="FBF3DC"/>
            <w:tcMar>
              <w:top w:w="100" w:type="dxa"/>
              <w:start w:w="160" w:type="dxa"/>
              <w:bottom w:w="100" w:type="dxa"/>
              <w:end w:w="160" w:type="dxa"/>
            </w:tcMar>
          </w:tcPr>
          <w:p>
            <w:pPr>
              <w:jc w:val="left"/>
            </w:pPr>
            <w:r>
              <w:rPr>
                <w:rFonts w:ascii="Calibri" w:hAnsi="Calibri"/>
                <w:b/>
                <w:i w:val="0"/>
                <w:color w:val="087A55"/>
                <w:sz w:val="18"/>
              </w:rPr>
              <w:t>Year 3</w:t>
            </w:r>
          </w:p>
        </w:tc>
      </w:tr>
      <w:tr>
        <w:tc>
          <w:tcPr>
            <w:tcW w:type="dxa" w:w="3139"/>
            <w:vAlign w:val="center"/>
            <w:shd w:fill="EAF7F0"/>
            <w:tcMar>
              <w:top w:w="100" w:type="dxa"/>
              <w:start w:w="160" w:type="dxa"/>
              <w:bottom w:w="100" w:type="dxa"/>
              <w:end w:w="160" w:type="dxa"/>
            </w:tcMar>
          </w:tcPr>
          <w:p>
            <w:pPr>
              <w:jc w:val="left"/>
            </w:pPr>
            <w:r>
              <w:rPr>
                <w:rFonts w:ascii="Calibri" w:hAnsi="Calibri"/>
                <w:b/>
                <w:i w:val="0"/>
                <w:color w:val="14251D"/>
                <w:sz w:val="22"/>
              </w:rPr>
              <w:t>Territory and State response</w:t>
            </w:r>
          </w:p>
        </w:tc>
        <w:tc>
          <w:tcPr>
            <w:tcW w:type="dxa" w:w="3139"/>
            <w:vAlign w:val="center"/>
            <w:shd w:fill="EAF2F7"/>
            <w:tcMar>
              <w:top w:w="100" w:type="dxa"/>
              <w:start w:w="160" w:type="dxa"/>
              <w:bottom w:w="100" w:type="dxa"/>
              <w:end w:w="160" w:type="dxa"/>
            </w:tcMar>
          </w:tcPr>
          <w:p>
            <w:pPr>
              <w:jc w:val="left"/>
            </w:pPr>
            <w:r>
              <w:rPr>
                <w:rFonts w:ascii="Calibri" w:hAnsi="Calibri"/>
                <w:b/>
                <w:i w:val="0"/>
                <w:color w:val="14251D"/>
                <w:sz w:val="22"/>
              </w:rPr>
              <w:t>Enterprises and authorisations</w:t>
            </w:r>
          </w:p>
        </w:tc>
        <w:tc>
          <w:tcPr>
            <w:tcW w:type="dxa" w:w="3139"/>
            <w:vAlign w:val="center"/>
            <w:shd w:fill="FBF3DC"/>
            <w:tcMar>
              <w:top w:w="100" w:type="dxa"/>
              <w:start w:w="160" w:type="dxa"/>
              <w:bottom w:w="100" w:type="dxa"/>
              <w:end w:w="160" w:type="dxa"/>
            </w:tcMar>
          </w:tcPr>
          <w:p>
            <w:pPr>
              <w:jc w:val="left"/>
            </w:pPr>
            <w:r>
              <w:rPr>
                <w:rFonts w:ascii="Calibri" w:hAnsi="Calibri"/>
                <w:b/>
                <w:i w:val="0"/>
                <w:color w:val="14251D"/>
                <w:sz w:val="22"/>
              </w:rPr>
              <w:t>Consolidation and expansion</w:t>
            </w:r>
          </w:p>
        </w:tc>
      </w:tr>
    </w:tbl>
    <w:p>
      <w:pPr>
        <w:pStyle w:val="Heading1"/>
        <w:keepNext/>
        <w:jc w:val="left"/>
      </w:pPr>
      <w:r>
        <w:t>4. Indicative budget</w:t>
      </w:r>
    </w:p>
    <w:tbl>
      <w:tblPr>
        <w:tblW w:type="auto" w:w="0"/>
        <w:jc w:val="center"/>
        <w:tblLayout w:type="fixed"/>
        <w:tblLook w:firstColumn="1" w:firstRow="1" w:lastColumn="0" w:lastRow="0" w:noHBand="0" w:noVBand="1" w:val="04A0"/>
        <w:tblBorders>
          <w:top w:val="single" w:sz="5" w:color="DFE7E2"/>
          <w:left w:val="single" w:sz="5" w:color="DFE7E2"/>
          <w:bottom w:val="single" w:sz="5" w:color="DFE7E2"/>
          <w:right w:val="single" w:sz="5" w:color="DFE7E2"/>
          <w:insideH w:val="single" w:sz="5" w:color="DFE7E2"/>
          <w:insideV w:val="single" w:sz="5" w:color="DFE7E2"/>
        </w:tblBorders>
      </w:tblPr>
      <w:tblGrid>
        <w:gridCol w:w="3293"/>
        <w:gridCol w:w="3293"/>
        <w:gridCol w:w="3293"/>
      </w:tblGrid>
      <w:tr>
        <w:trPr>
          <w:tblHeader w:val="true"/>
        </w:trPr>
        <w:tc>
          <w:tcPr>
            <w:tcW w:type="dxa" w:w="3139"/>
            <w:vAlign w:val="center"/>
            <w:shd w:fill="EAF7F0"/>
            <w:tcMar>
              <w:top w:w="100" w:type="dxa"/>
              <w:start w:w="150" w:type="dxa"/>
              <w:bottom w:w="100" w:type="dxa"/>
              <w:end w:w="150" w:type="dxa"/>
            </w:tcMar>
          </w:tcPr>
          <w:p>
            <w:pPr>
              <w:jc w:val="left"/>
            </w:pPr>
            <w:r>
              <w:rPr>
                <w:rFonts w:ascii="Calibri" w:hAnsi="Calibri"/>
                <w:b/>
                <w:i w:val="0"/>
                <w:color w:val="087A55"/>
                <w:sz w:val="20"/>
              </w:rPr>
              <w:t>Year 1</w:t>
            </w:r>
          </w:p>
        </w:tc>
        <w:tc>
          <w:tcPr>
            <w:tcW w:type="dxa" w:w="3139"/>
            <w:vAlign w:val="center"/>
            <w:shd w:fill="EAF2F7"/>
            <w:tcMar>
              <w:top w:w="100" w:type="dxa"/>
              <w:start w:w="150" w:type="dxa"/>
              <w:bottom w:w="100" w:type="dxa"/>
              <w:end w:w="150" w:type="dxa"/>
            </w:tcMar>
          </w:tcPr>
          <w:p>
            <w:pPr>
              <w:jc w:val="left"/>
            </w:pPr>
            <w:r>
              <w:rPr>
                <w:rFonts w:ascii="Calibri" w:hAnsi="Calibri"/>
                <w:b/>
                <w:i w:val="0"/>
                <w:color w:val="087A55"/>
                <w:sz w:val="20"/>
              </w:rPr>
              <w:t>Year 2</w:t>
            </w:r>
          </w:p>
        </w:tc>
        <w:tc>
          <w:tcPr>
            <w:tcW w:type="dxa" w:w="3139"/>
            <w:vAlign w:val="center"/>
            <w:shd w:fill="FBF3DC"/>
            <w:tcMar>
              <w:top w:w="100" w:type="dxa"/>
              <w:start w:w="150" w:type="dxa"/>
              <w:bottom w:w="100" w:type="dxa"/>
              <w:end w:w="150" w:type="dxa"/>
            </w:tcMar>
          </w:tcPr>
          <w:p>
            <w:pPr>
              <w:jc w:val="left"/>
            </w:pPr>
            <w:r>
              <w:rPr>
                <w:rFonts w:ascii="Calibri" w:hAnsi="Calibri"/>
                <w:b/>
                <w:i w:val="0"/>
                <w:color w:val="087A55"/>
                <w:sz w:val="20"/>
              </w:rPr>
              <w:t>Year 3</w:t>
            </w:r>
          </w:p>
        </w:tc>
      </w:tr>
      <w:tr>
        <w:tc>
          <w:tcPr>
            <w:tcW w:type="dxa" w:w="3139"/>
            <w:vAlign w:val="center"/>
            <w:shd w:fill="EAF7F0"/>
            <w:tcMar>
              <w:top w:w="100" w:type="dxa"/>
              <w:start w:w="150" w:type="dxa"/>
              <w:bottom w:w="100" w:type="dxa"/>
              <w:end w:w="150" w:type="dxa"/>
            </w:tcMar>
          </w:tcPr>
          <w:p>
            <w:pPr>
              <w:jc w:val="left"/>
            </w:pPr>
            <w:r>
              <w:rPr>
                <w:rFonts w:ascii="Calibri" w:hAnsi="Calibri"/>
                <w:b w:val="0"/>
                <w:i w:val="0"/>
                <w:color w:val="14251D"/>
                <w:sz w:val="22"/>
              </w:rPr>
              <w:t>Approximately USD 1.2 million</w:t>
            </w:r>
          </w:p>
        </w:tc>
        <w:tc>
          <w:tcPr>
            <w:tcW w:type="dxa" w:w="3139"/>
            <w:vAlign w:val="center"/>
            <w:shd w:fill="EAF2F7"/>
            <w:tcMar>
              <w:top w:w="100" w:type="dxa"/>
              <w:start w:w="150" w:type="dxa"/>
              <w:bottom w:w="100" w:type="dxa"/>
              <w:end w:w="150" w:type="dxa"/>
            </w:tcMar>
          </w:tcPr>
          <w:p>
            <w:pPr>
              <w:jc w:val="left"/>
            </w:pPr>
            <w:r>
              <w:rPr>
                <w:rFonts w:ascii="Calibri" w:hAnsi="Calibri"/>
                <w:b w:val="0"/>
                <w:i w:val="0"/>
                <w:color w:val="14251D"/>
                <w:sz w:val="22"/>
              </w:rPr>
              <w:t>Approximately USD 1.2 million</w:t>
            </w:r>
          </w:p>
        </w:tc>
        <w:tc>
          <w:tcPr>
            <w:tcW w:type="dxa" w:w="3139"/>
            <w:vAlign w:val="center"/>
            <w:shd w:fill="FBF3DC"/>
            <w:tcMar>
              <w:top w:w="100" w:type="dxa"/>
              <w:start w:w="150" w:type="dxa"/>
              <w:bottom w:w="100" w:type="dxa"/>
              <w:end w:w="150" w:type="dxa"/>
            </w:tcMar>
          </w:tcPr>
          <w:p>
            <w:pPr>
              <w:jc w:val="left"/>
            </w:pPr>
            <w:r>
              <w:rPr>
                <w:rFonts w:ascii="Calibri" w:hAnsi="Calibri"/>
                <w:b w:val="0"/>
                <w:i w:val="0"/>
                <w:color w:val="14251D"/>
                <w:sz w:val="22"/>
              </w:rPr>
              <w:t>Approximately USD 1.2 million</w:t>
            </w:r>
          </w:p>
        </w:tc>
      </w:tr>
    </w:tbl>
    <w:p>
      <w:pPr>
        <w:spacing w:before="100" w:after="240" w:line="288" w:lineRule="auto"/>
        <w:ind w:left="259" w:right="259"/>
        <w:jc w:val="left"/>
        <w:shd w:fill="EAF7F0"/>
        <w:contextualSpacing/>
      </w:pPr>
      <w:r>
        <w:rPr>
          <w:rFonts w:ascii="Calibri" w:hAnsi="Calibri"/>
          <w:b/>
          <w:i w:val="0"/>
          <w:color w:val="087A55"/>
          <w:sz w:val="19"/>
        </w:rPr>
        <w:t>INDICATIVE TOTAL</w:t>
        <w:br/>
      </w:r>
      <w:r>
        <w:rPr>
          <w:rFonts w:ascii="Calibri" w:hAnsi="Calibri"/>
          <w:b w:val="0"/>
          <w:i w:val="0"/>
          <w:color w:val="14251D"/>
          <w:sz w:val="24"/>
        </w:rPr>
        <w:t>USD 3.6 million</w:t>
      </w:r>
    </w:p>
    <w:p>
      <w:pPr>
        <w:spacing w:after="0" w:line="300" w:lineRule="auto"/>
        <w:jc w:val="left"/>
      </w:pPr>
      <w:r>
        <w:rPr>
          <w:rFonts w:ascii="Calibri" w:hAnsi="Calibri"/>
          <w:b w:val="0"/>
          <w:i w:val="0"/>
          <w:color w:val="14251D"/>
          <w:sz w:val="22"/>
        </w:rPr>
        <w:t>The allocation between the national and local components, the number of territories covered in the first year and the detailed workplan will be agreed at the start of the project.</w:t>
      </w:r>
    </w:p>
    <w:sectPr w:rsidR="00FC693F" w:rsidRPr="0006063C" w:rsidSect="00034616">
      <w:headerReference w:type="default" r:id="rId9"/>
      <w:footerReference w:type="default" r:id="rId10"/>
      <w:pgSz w:w="12240" w:h="15840"/>
      <w:pgMar w:top="1123"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36159"/>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i w:val="0"/>
        <w:color w:val="536159"/>
        <w:sz w:val="17"/>
      </w:rPr>
      <w:t>Territorial ABC System | Project note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jc w:val="left"/>
    </w:pPr>
    <w:rPr>
      <w:rFonts w:ascii="Calibri" w:hAnsi="Calibri"/>
      <w:color w:val="14251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Calibri" w:hAnsi="Calibri"/>
      <w:b/>
      <w:bCs/>
      <w:color w:val="087A55"/>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87A5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b/>
      <w:bCs/>
      <w:color w:val="14251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documentos/Agenda_ABC_Nacional.pdf" TargetMode="External"/><Relationship Id="rId12" Type="http://schemas.openxmlformats.org/officeDocument/2006/relationships/hyperlink" Target="/documentos/Programa_Nacional_Promotores_ABC_v17.docx" TargetMode="Externa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Territorial ABC System</dc:title>
  <dc:subject>The information system for the ABC Agenda</dc:subject>
  <dc:creator>Ministry of Environment and Sustainable Development, Republic of Colombia</dc:creator>
  <cp:keywords>ABC Agenda; territorial development; environmental regeneration</cp:keywords>
  <dc:description>generated by python-docx</dc:description>
  <cp:lastModifiedBy/>
  <cp:revision>1</cp:revision>
  <dcterms:created xsi:type="dcterms:W3CDTF">2013-12-23T23:15:00Z</dcterms:created>
  <dcterms:modified xsi:type="dcterms:W3CDTF">2013-12-23T23:15:00Z</dcterms:modified>
  <cp:category/>
</cp:coreProperties>
</file>